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720" w:right="-720"/>
        <w:jc w:val="center"/>
        <w:rPr>
          <w:rFonts w:ascii="Arial" w:hAnsi="Arial" w:cs="Arial"/>
          <w:b/>
          <w:sz w:val="16"/>
          <w:szCs w:val="16"/>
        </w:rPr>
      </w:pPr>
      <w:r>
        <w:rPr>
          <w:noProof/>
        </w:rPr>
        <w:drawing>
          <wp:inline distT="0" distB="0" distL="0" distR="0">
            <wp:extent cx="952500" cy="883920"/>
            <wp:effectExtent l="0" t="0" r="0" b="0"/>
            <wp:docPr id="1" name="Picture 1" descr="BanderaCountySeal_185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CountySeal_185p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83920"/>
                    </a:xfrm>
                    <a:prstGeom prst="rect">
                      <a:avLst/>
                    </a:prstGeom>
                    <a:noFill/>
                    <a:ln>
                      <a:noFill/>
                    </a:ln>
                  </pic:spPr>
                </pic:pic>
              </a:graphicData>
            </a:graphic>
          </wp:inline>
        </w:drawing>
      </w:r>
    </w:p>
    <w:p>
      <w:pPr>
        <w:ind w:left="-720" w:right="-720"/>
        <w:jc w:val="center"/>
        <w:rPr>
          <w:rFonts w:ascii="Arial" w:hAnsi="Arial" w:cs="Arial"/>
          <w:b/>
          <w:sz w:val="16"/>
          <w:szCs w:val="16"/>
        </w:rPr>
      </w:pPr>
    </w:p>
    <w:p>
      <w:pPr>
        <w:ind w:left="-720" w:right="-720"/>
        <w:jc w:val="center"/>
        <w:rPr>
          <w:rFonts w:ascii="Arial" w:hAnsi="Arial" w:cs="Arial"/>
          <w:b/>
        </w:rPr>
      </w:pPr>
      <w:r>
        <w:rPr>
          <w:rFonts w:ascii="Arial" w:hAnsi="Arial" w:cs="Arial"/>
          <w:b/>
        </w:rPr>
        <w:t xml:space="preserve">BANDERA COUNTY INDIGENT HEALTH CARE PROGRAM </w:t>
      </w:r>
    </w:p>
    <w:p>
      <w:pPr>
        <w:ind w:left="-720" w:right="-720"/>
        <w:jc w:val="center"/>
        <w:rPr>
          <w:rFonts w:ascii="Arial" w:hAnsi="Arial" w:cs="Arial"/>
          <w:b/>
          <w:sz w:val="16"/>
          <w:szCs w:val="16"/>
        </w:rPr>
      </w:pPr>
    </w:p>
    <w:p>
      <w:pPr>
        <w:ind w:left="-720" w:right="-720"/>
        <w:jc w:val="center"/>
        <w:rPr>
          <w:rFonts w:ascii="Arial" w:hAnsi="Arial" w:cs="Arial"/>
          <w:b/>
        </w:rPr>
      </w:pPr>
      <w:r>
        <w:rPr>
          <w:rFonts w:ascii="Arial" w:hAnsi="Arial" w:cs="Arial"/>
          <w:b/>
        </w:rPr>
        <w:t>FY 2025-2026</w:t>
      </w:r>
    </w:p>
    <w:p>
      <w:pPr>
        <w:ind w:left="-720" w:right="-720"/>
        <w:jc w:val="center"/>
        <w:rPr>
          <w:sz w:val="16"/>
          <w:szCs w:val="16"/>
        </w:rPr>
      </w:pPr>
    </w:p>
    <w:p>
      <w:pPr>
        <w:ind w:left="-720" w:right="-720"/>
        <w:jc w:val="both"/>
        <w:rPr>
          <w:rFonts w:ascii="Arial" w:hAnsi="Arial" w:cs="Arial"/>
          <w:sz w:val="22"/>
          <w:szCs w:val="22"/>
        </w:rPr>
      </w:pPr>
      <w:r>
        <w:rPr>
          <w:rFonts w:ascii="Arial" w:hAnsi="Arial" w:cs="Arial"/>
          <w:sz w:val="22"/>
          <w:szCs w:val="22"/>
        </w:rPr>
        <w:t xml:space="preserve">This is NOT an insurance program. The intent is to ensure that our most needy Bandera County residents, who do not qualify for other state, federal or private health care assistance programs, receive </w:t>
      </w:r>
      <w:r>
        <w:rPr>
          <w:rFonts w:ascii="Arial" w:hAnsi="Arial" w:cs="Arial"/>
          <w:sz w:val="22"/>
          <w:szCs w:val="22"/>
          <w:u w:val="single"/>
        </w:rPr>
        <w:t>basic</w:t>
      </w:r>
      <w:r>
        <w:rPr>
          <w:rFonts w:ascii="Arial" w:hAnsi="Arial" w:cs="Arial"/>
          <w:sz w:val="22"/>
          <w:szCs w:val="22"/>
        </w:rPr>
        <w:t xml:space="preserve"> health care services paid for through the County Indigent Health Care Program to a maximum of $30,000 per State’s fiscal year (1 Sep – 31 Aug). We follow guidelines issued by the Texas Department of State Health Services (TDSHS) regarding eligibility and administration of the program. Funding comes from general county taxes.</w:t>
      </w:r>
    </w:p>
    <w:p>
      <w:pPr>
        <w:ind w:left="-720" w:right="-720"/>
        <w:rPr>
          <w:rFonts w:ascii="Arial" w:hAnsi="Arial" w:cs="Arial"/>
          <w:sz w:val="22"/>
          <w:szCs w:val="22"/>
        </w:rPr>
      </w:pPr>
    </w:p>
    <w:p>
      <w:pPr>
        <w:ind w:left="-720" w:right="-720"/>
        <w:rPr>
          <w:rFonts w:ascii="Arial" w:hAnsi="Arial" w:cs="Arial"/>
          <w:sz w:val="22"/>
          <w:szCs w:val="22"/>
        </w:rPr>
      </w:pPr>
      <w:r>
        <w:rPr>
          <w:rFonts w:ascii="Arial" w:hAnsi="Arial" w:cs="Arial"/>
          <w:b/>
          <w:sz w:val="22"/>
          <w:szCs w:val="22"/>
        </w:rPr>
        <w:t>Eligibility</w:t>
      </w:r>
      <w:r>
        <w:rPr>
          <w:rFonts w:ascii="Arial" w:hAnsi="Arial" w:cs="Arial"/>
          <w:sz w:val="22"/>
          <w:szCs w:val="22"/>
        </w:rPr>
        <w:t xml:space="preserve">: There are four components: </w:t>
      </w:r>
      <w:r>
        <w:rPr>
          <w:rFonts w:ascii="Arial" w:hAnsi="Arial" w:cs="Arial"/>
          <w:b/>
          <w:sz w:val="22"/>
          <w:szCs w:val="22"/>
        </w:rPr>
        <w:t>Residence</w:t>
      </w:r>
      <w:r>
        <w:rPr>
          <w:rFonts w:ascii="Arial" w:hAnsi="Arial" w:cs="Arial"/>
          <w:sz w:val="22"/>
          <w:szCs w:val="22"/>
        </w:rPr>
        <w:t xml:space="preserve">, </w:t>
      </w:r>
      <w:r>
        <w:rPr>
          <w:rFonts w:ascii="Arial" w:hAnsi="Arial" w:cs="Arial"/>
          <w:b/>
          <w:sz w:val="22"/>
          <w:szCs w:val="22"/>
        </w:rPr>
        <w:t>Household</w:t>
      </w:r>
      <w:r>
        <w:rPr>
          <w:rFonts w:ascii="Arial" w:hAnsi="Arial" w:cs="Arial"/>
          <w:sz w:val="22"/>
          <w:szCs w:val="22"/>
        </w:rPr>
        <w:t xml:space="preserve">, </w:t>
      </w:r>
      <w:r>
        <w:rPr>
          <w:rFonts w:ascii="Arial" w:hAnsi="Arial" w:cs="Arial"/>
          <w:b/>
          <w:sz w:val="22"/>
          <w:szCs w:val="22"/>
        </w:rPr>
        <w:t>Resources</w:t>
      </w:r>
      <w:r>
        <w:rPr>
          <w:rFonts w:ascii="Arial" w:hAnsi="Arial" w:cs="Arial"/>
          <w:sz w:val="22"/>
          <w:szCs w:val="22"/>
        </w:rPr>
        <w:t xml:space="preserve"> and </w:t>
      </w:r>
      <w:r>
        <w:rPr>
          <w:rFonts w:ascii="Arial" w:hAnsi="Arial" w:cs="Arial"/>
          <w:b/>
          <w:sz w:val="22"/>
          <w:szCs w:val="22"/>
        </w:rPr>
        <w:t>Income</w:t>
      </w:r>
      <w:r>
        <w:rPr>
          <w:rFonts w:ascii="Arial" w:hAnsi="Arial" w:cs="Arial"/>
          <w:sz w:val="22"/>
          <w:szCs w:val="22"/>
        </w:rPr>
        <w:t>. Some of the specifics are listed here:</w:t>
      </w:r>
    </w:p>
    <w:p>
      <w:pPr>
        <w:ind w:left="-720" w:right="-720"/>
        <w:rPr>
          <w:rFonts w:ascii="Arial" w:hAnsi="Arial" w:cs="Arial"/>
          <w:sz w:val="22"/>
          <w:szCs w:val="22"/>
        </w:rPr>
      </w:pPr>
    </w:p>
    <w:p>
      <w:pPr>
        <w:numPr>
          <w:ilvl w:val="0"/>
          <w:numId w:val="1"/>
        </w:numPr>
        <w:ind w:left="-270" w:right="-720" w:hanging="450"/>
        <w:jc w:val="both"/>
        <w:rPr>
          <w:rFonts w:ascii="Arial" w:hAnsi="Arial" w:cs="Arial"/>
          <w:sz w:val="22"/>
          <w:szCs w:val="22"/>
        </w:rPr>
      </w:pPr>
      <w:r>
        <w:rPr>
          <w:rFonts w:ascii="Arial" w:hAnsi="Arial" w:cs="Arial"/>
          <w:sz w:val="22"/>
          <w:szCs w:val="22"/>
        </w:rPr>
        <w:t>Applications must be completely and accurately filled out;</w:t>
      </w:r>
    </w:p>
    <w:p>
      <w:pPr>
        <w:numPr>
          <w:ilvl w:val="0"/>
          <w:numId w:val="1"/>
        </w:numPr>
        <w:ind w:left="-270" w:right="-720" w:hanging="450"/>
        <w:jc w:val="both"/>
        <w:rPr>
          <w:rFonts w:ascii="Arial" w:hAnsi="Arial" w:cs="Arial"/>
          <w:sz w:val="22"/>
          <w:szCs w:val="22"/>
        </w:rPr>
      </w:pPr>
      <w:r>
        <w:rPr>
          <w:rFonts w:ascii="Arial" w:hAnsi="Arial" w:cs="Arial"/>
          <w:sz w:val="22"/>
          <w:szCs w:val="22"/>
        </w:rPr>
        <w:t xml:space="preserve">Identification, i.e. </w:t>
      </w:r>
      <w:smartTag w:uri="urn:schemas-microsoft-com:office:smarttags" w:element="State">
        <w:smartTag w:uri="urn:schemas-microsoft-com:office:smarttags" w:element="place">
          <w:r>
            <w:rPr>
              <w:rFonts w:ascii="Arial" w:hAnsi="Arial" w:cs="Arial"/>
              <w:sz w:val="22"/>
              <w:szCs w:val="22"/>
            </w:rPr>
            <w:t>Texas</w:t>
          </w:r>
        </w:smartTag>
      </w:smartTag>
      <w:r>
        <w:rPr>
          <w:rFonts w:ascii="Arial" w:hAnsi="Arial" w:cs="Arial"/>
          <w:sz w:val="22"/>
          <w:szCs w:val="22"/>
        </w:rPr>
        <w:t xml:space="preserve"> driver’s license, SS card;</w:t>
      </w:r>
    </w:p>
    <w:p>
      <w:pPr>
        <w:numPr>
          <w:ilvl w:val="0"/>
          <w:numId w:val="1"/>
        </w:numPr>
        <w:ind w:left="-270" w:right="-720" w:hanging="450"/>
        <w:jc w:val="both"/>
        <w:rPr>
          <w:rFonts w:ascii="Arial" w:hAnsi="Arial" w:cs="Arial"/>
          <w:sz w:val="22"/>
          <w:szCs w:val="22"/>
        </w:rPr>
      </w:pPr>
      <w:r>
        <w:rPr>
          <w:rFonts w:ascii="Arial" w:hAnsi="Arial" w:cs="Arial"/>
          <w:sz w:val="22"/>
          <w:szCs w:val="22"/>
        </w:rPr>
        <w:t xml:space="preserve">Residency: Proof of </w:t>
      </w:r>
      <w:smartTag w:uri="urn:schemas-microsoft-com:office:smarttags" w:element="place">
        <w:smartTag w:uri="urn:schemas-microsoft-com:office:smarttags" w:element="PlaceName">
          <w:r>
            <w:rPr>
              <w:rFonts w:ascii="Arial" w:hAnsi="Arial" w:cs="Arial"/>
              <w:sz w:val="22"/>
              <w:szCs w:val="22"/>
            </w:rPr>
            <w:t>Bandera</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residency, i.e. voter registration card, property tax statement, utility bill;</w:t>
      </w:r>
    </w:p>
    <w:p>
      <w:pPr>
        <w:numPr>
          <w:ilvl w:val="0"/>
          <w:numId w:val="1"/>
        </w:numPr>
        <w:ind w:left="-270" w:right="-720" w:hanging="450"/>
        <w:jc w:val="both"/>
        <w:rPr>
          <w:rFonts w:ascii="Arial" w:hAnsi="Arial" w:cs="Arial"/>
          <w:sz w:val="22"/>
          <w:szCs w:val="22"/>
        </w:rPr>
      </w:pPr>
      <w:r>
        <w:rPr>
          <w:rFonts w:ascii="Arial" w:hAnsi="Arial" w:cs="Arial"/>
          <w:sz w:val="22"/>
          <w:szCs w:val="22"/>
        </w:rPr>
        <w:t>Proof of income for the application month and any month for which assistance is being requested (including spouse, if married), i.e. pay stubs, statement from employer. A copy of one’s most current IRS tax return forms may be requested. Income cannot exceed specified percentage of the Federal Poverty Guidelines. Unemployment benefits, self-employment and cash gifts are all considered income. To qualify for assistance, income cannot be over 21% of the Federal Poverty Guideline. In 2025, 21% of the FPG ($15,650/year) is equal to $274/month for 1 person in a family/household. The qualification income increases based on household size per the below:</w:t>
      </w:r>
    </w:p>
    <w:p>
      <w:pPr>
        <w:ind w:left="-270" w:right="-720" w:hanging="450"/>
        <w:rPr>
          <w:rFonts w:ascii="Arial" w:hAnsi="Arial" w:cs="Arial"/>
          <w:sz w:val="16"/>
          <w:szCs w:val="16"/>
        </w:rPr>
      </w:pPr>
    </w:p>
    <w:tbl>
      <w:tblPr>
        <w:tblW w:w="259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28"/>
        <w:gridCol w:w="2227"/>
      </w:tblGrid>
      <w:tr>
        <w:trPr>
          <w:trHeight w:val="668"/>
          <w:tblCellSpacing w:w="15" w:type="dxa"/>
          <w:jc w:val="center"/>
        </w:trPr>
        <w:tc>
          <w:tcPr>
            <w:tcW w:w="4938" w:type="pct"/>
            <w:gridSpan w:val="2"/>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b/>
                <w:bCs/>
                <w:sz w:val="22"/>
                <w:szCs w:val="20"/>
              </w:rPr>
            </w:pPr>
            <w:r>
              <w:rPr>
                <w:rFonts w:ascii="Arial" w:hAnsi="Arial" w:cs="Arial"/>
                <w:b/>
                <w:bCs/>
                <w:sz w:val="22"/>
                <w:szCs w:val="20"/>
              </w:rPr>
              <w:t>CIHCP Monthly</w:t>
            </w:r>
            <w:bookmarkStart w:id="0" w:name="Income_Standards"/>
            <w:r>
              <w:rPr>
                <w:rFonts w:ascii="Arial" w:hAnsi="Arial" w:cs="Arial"/>
                <w:b/>
                <w:bCs/>
                <w:sz w:val="22"/>
                <w:szCs w:val="20"/>
              </w:rPr>
              <w:t xml:space="preserve"> Income Standards</w:t>
            </w:r>
            <w:bookmarkEnd w:id="0"/>
          </w:p>
          <w:p>
            <w:pPr>
              <w:ind w:left="-270" w:right="-720" w:hanging="450"/>
              <w:jc w:val="center"/>
              <w:rPr>
                <w:rFonts w:ascii="Arial" w:hAnsi="Arial" w:cs="Arial"/>
                <w:sz w:val="22"/>
                <w:szCs w:val="20"/>
              </w:rPr>
            </w:pPr>
            <w:r>
              <w:rPr>
                <w:rFonts w:ascii="Arial" w:hAnsi="Arial" w:cs="Arial"/>
                <w:sz w:val="22"/>
                <w:szCs w:val="20"/>
              </w:rPr>
              <w:t>2025</w:t>
            </w:r>
          </w:p>
        </w:tc>
      </w:tr>
      <w:tr>
        <w:trPr>
          <w:trHeight w:val="320"/>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b/>
                <w:bCs/>
                <w:sz w:val="22"/>
                <w:szCs w:val="20"/>
              </w:rPr>
            </w:pPr>
            <w:r>
              <w:rPr>
                <w:rFonts w:ascii="Arial" w:hAnsi="Arial" w:cs="Arial"/>
                <w:b/>
                <w:bCs/>
                <w:sz w:val="22"/>
                <w:szCs w:val="20"/>
              </w:rPr>
              <w:t>Family Size</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b/>
                <w:bCs/>
                <w:sz w:val="22"/>
                <w:szCs w:val="20"/>
              </w:rPr>
            </w:pPr>
            <w:r>
              <w:rPr>
                <w:rFonts w:ascii="Arial" w:hAnsi="Arial" w:cs="Arial"/>
                <w:b/>
                <w:bCs/>
                <w:sz w:val="22"/>
                <w:szCs w:val="20"/>
              </w:rPr>
              <w:t>21% of FPG</w:t>
            </w:r>
          </w:p>
        </w:tc>
      </w:tr>
      <w:tr>
        <w:trPr>
          <w:trHeight w:val="320"/>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1</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$274</w:t>
            </w:r>
          </w:p>
        </w:tc>
      </w:tr>
      <w:tr>
        <w:trPr>
          <w:trHeight w:val="320"/>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2</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$370</w:t>
            </w:r>
          </w:p>
        </w:tc>
      </w:tr>
      <w:tr>
        <w:trPr>
          <w:trHeight w:val="334"/>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3</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$466</w:t>
            </w:r>
          </w:p>
        </w:tc>
      </w:tr>
      <w:tr>
        <w:trPr>
          <w:trHeight w:val="320"/>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4</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$563</w:t>
            </w:r>
          </w:p>
        </w:tc>
      </w:tr>
      <w:tr>
        <w:trPr>
          <w:trHeight w:val="320"/>
          <w:tblCellSpacing w:w="15" w:type="dxa"/>
          <w:jc w:val="center"/>
        </w:trPr>
        <w:tc>
          <w:tcPr>
            <w:tcW w:w="2676"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5</w:t>
            </w:r>
          </w:p>
        </w:tc>
        <w:tc>
          <w:tcPr>
            <w:tcW w:w="2231" w:type="pct"/>
            <w:tcBorders>
              <w:top w:val="outset" w:sz="6" w:space="0" w:color="auto"/>
              <w:left w:val="outset" w:sz="6" w:space="0" w:color="auto"/>
              <w:bottom w:val="outset" w:sz="6" w:space="0" w:color="auto"/>
              <w:right w:val="outset" w:sz="6" w:space="0" w:color="auto"/>
            </w:tcBorders>
            <w:vAlign w:val="center"/>
          </w:tcPr>
          <w:p>
            <w:pPr>
              <w:ind w:left="-270" w:right="-720" w:hanging="450"/>
              <w:jc w:val="center"/>
              <w:rPr>
                <w:rFonts w:ascii="Arial" w:hAnsi="Arial" w:cs="Arial"/>
                <w:sz w:val="22"/>
                <w:szCs w:val="20"/>
              </w:rPr>
            </w:pPr>
            <w:r>
              <w:rPr>
                <w:rFonts w:ascii="Arial" w:hAnsi="Arial" w:cs="Arial"/>
                <w:sz w:val="22"/>
                <w:szCs w:val="20"/>
              </w:rPr>
              <w:t>$659</w:t>
            </w:r>
          </w:p>
        </w:tc>
      </w:tr>
    </w:tbl>
    <w:p>
      <w:pPr>
        <w:ind w:left="-270" w:right="-720" w:hanging="450"/>
        <w:jc w:val="both"/>
        <w:rPr>
          <w:rFonts w:ascii="Arial" w:hAnsi="Arial" w:cs="Arial"/>
          <w:sz w:val="22"/>
          <w:szCs w:val="22"/>
        </w:rPr>
      </w:pPr>
    </w:p>
    <w:p>
      <w:pPr>
        <w:ind w:left="-270" w:right="-720" w:hanging="450"/>
        <w:jc w:val="both"/>
        <w:rPr>
          <w:rFonts w:ascii="Arial" w:hAnsi="Arial" w:cs="Arial"/>
          <w:sz w:val="22"/>
          <w:szCs w:val="22"/>
        </w:rPr>
      </w:pPr>
      <w:r>
        <w:rPr>
          <w:rFonts w:ascii="Arial" w:hAnsi="Arial" w:cs="Arial"/>
          <w:sz w:val="22"/>
          <w:szCs w:val="22"/>
        </w:rPr>
        <w:t xml:space="preserve">*Family size &amp; income </w:t>
      </w:r>
      <w:r>
        <w:rPr>
          <w:rFonts w:ascii="Arial" w:hAnsi="Arial" w:cs="Arial"/>
          <w:sz w:val="22"/>
          <w:szCs w:val="22"/>
          <w:u w:val="single"/>
        </w:rPr>
        <w:t>excludes</w:t>
      </w:r>
      <w:r>
        <w:rPr>
          <w:rFonts w:ascii="Arial" w:hAnsi="Arial" w:cs="Arial"/>
          <w:sz w:val="22"/>
          <w:szCs w:val="22"/>
        </w:rPr>
        <w:t xml:space="preserve"> anyone receiving Medicaid benefits or household residents not the legal responsibility of IHCP applicant(s).</w:t>
      </w:r>
    </w:p>
    <w:p>
      <w:pPr>
        <w:ind w:left="-270" w:right="-720" w:hanging="450"/>
        <w:jc w:val="both"/>
        <w:rPr>
          <w:rFonts w:ascii="Arial" w:hAnsi="Arial" w:cs="Arial"/>
          <w:sz w:val="16"/>
          <w:szCs w:val="16"/>
        </w:rPr>
      </w:pPr>
    </w:p>
    <w:p>
      <w:pPr>
        <w:numPr>
          <w:ilvl w:val="0"/>
          <w:numId w:val="1"/>
        </w:numPr>
        <w:ind w:left="-270" w:right="-720" w:hanging="450"/>
        <w:jc w:val="both"/>
        <w:rPr>
          <w:rFonts w:ascii="Arial" w:hAnsi="Arial" w:cs="Arial"/>
          <w:sz w:val="22"/>
          <w:szCs w:val="22"/>
        </w:rPr>
      </w:pPr>
      <w:r>
        <w:rPr>
          <w:rFonts w:ascii="Arial" w:hAnsi="Arial" w:cs="Arial"/>
          <w:sz w:val="22"/>
          <w:szCs w:val="22"/>
        </w:rPr>
        <w:t xml:space="preserve">If income is less than expenses, verification is required on how living expenses are being met and may require a statement(s) of support (from family, friends, etc.) </w:t>
      </w:r>
    </w:p>
    <w:p>
      <w:pPr>
        <w:numPr>
          <w:ilvl w:val="0"/>
          <w:numId w:val="1"/>
        </w:numPr>
        <w:ind w:left="-270" w:right="-720" w:hanging="450"/>
        <w:jc w:val="both"/>
        <w:rPr>
          <w:rFonts w:ascii="Arial" w:hAnsi="Arial" w:cs="Arial"/>
          <w:sz w:val="22"/>
          <w:szCs w:val="22"/>
        </w:rPr>
      </w:pPr>
      <w:r>
        <w:rPr>
          <w:rFonts w:ascii="Arial" w:hAnsi="Arial" w:cs="Arial"/>
          <w:sz w:val="22"/>
          <w:szCs w:val="22"/>
        </w:rPr>
        <w:t>Interview with IHC eligibility staff member (unless medically unable to do so);</w:t>
      </w:r>
    </w:p>
    <w:p>
      <w:pPr>
        <w:numPr>
          <w:ilvl w:val="0"/>
          <w:numId w:val="1"/>
        </w:numPr>
        <w:ind w:left="-270" w:right="-720" w:hanging="450"/>
        <w:jc w:val="both"/>
        <w:rPr>
          <w:rFonts w:ascii="Arial" w:hAnsi="Arial" w:cs="Arial"/>
          <w:sz w:val="22"/>
          <w:szCs w:val="22"/>
        </w:rPr>
      </w:pPr>
      <w:r>
        <w:rPr>
          <w:rFonts w:ascii="Arial" w:hAnsi="Arial" w:cs="Arial"/>
          <w:sz w:val="22"/>
          <w:szCs w:val="22"/>
        </w:rPr>
        <w:t>Proof of SSI and/or SSDI application or denial (if applied for disability)—failure to provide this documentation within 14 days of receipt after application has been made for the IHC program will result in denial for the program.  All information and documents requested must be provided within 14 days of request or applications will be denied.</w:t>
      </w:r>
    </w:p>
    <w:p>
      <w:pPr>
        <w:numPr>
          <w:ilvl w:val="0"/>
          <w:numId w:val="1"/>
        </w:numPr>
        <w:ind w:left="-270" w:right="-720" w:hanging="450"/>
        <w:jc w:val="both"/>
        <w:rPr>
          <w:rFonts w:ascii="Arial" w:hAnsi="Arial" w:cs="Arial"/>
          <w:sz w:val="22"/>
          <w:szCs w:val="22"/>
        </w:rPr>
      </w:pPr>
      <w:r>
        <w:rPr>
          <w:rFonts w:ascii="Arial" w:hAnsi="Arial" w:cs="Arial"/>
          <w:sz w:val="22"/>
          <w:szCs w:val="22"/>
          <w:u w:val="single"/>
        </w:rPr>
        <w:t xml:space="preserve">Any changes in a client’s living situation that would affect their IHC eligibility must be reported within 14 days of the change: Physical address, household members, property, income and application for or receipt of any </w:t>
      </w:r>
      <w:r>
        <w:rPr>
          <w:rFonts w:ascii="Arial" w:hAnsi="Arial" w:cs="Arial"/>
          <w:sz w:val="22"/>
          <w:szCs w:val="22"/>
          <w:u w:val="single"/>
        </w:rPr>
        <w:lastRenderedPageBreak/>
        <w:t>state or federal financial or medical assistance.</w:t>
      </w:r>
      <w:r>
        <w:rPr>
          <w:rFonts w:ascii="Arial" w:hAnsi="Arial" w:cs="Arial"/>
          <w:sz w:val="22"/>
          <w:szCs w:val="22"/>
        </w:rPr>
        <w:t xml:space="preserve"> Failure to do so is deemed as fraud and may result in immediate program termination and repayment of any medical bills paid by the county during the period the client was deemed ineligible.</w:t>
      </w:r>
    </w:p>
    <w:p>
      <w:pPr>
        <w:numPr>
          <w:ilvl w:val="0"/>
          <w:numId w:val="1"/>
        </w:numPr>
        <w:ind w:left="-270" w:right="-720" w:hanging="450"/>
        <w:jc w:val="both"/>
        <w:rPr>
          <w:rFonts w:ascii="Arial" w:hAnsi="Arial" w:cs="Arial"/>
          <w:sz w:val="22"/>
          <w:szCs w:val="22"/>
        </w:rPr>
      </w:pPr>
      <w:r>
        <w:rPr>
          <w:rFonts w:ascii="Arial" w:hAnsi="Arial" w:cs="Arial"/>
          <w:sz w:val="22"/>
          <w:szCs w:val="22"/>
        </w:rPr>
        <w:t xml:space="preserve">Household resources (assets): </w:t>
      </w:r>
      <w:r>
        <w:rPr>
          <w:sz w:val="22"/>
          <w:szCs w:val="22"/>
        </w:rPr>
        <w:t xml:space="preserve"> </w:t>
      </w:r>
      <w:r>
        <w:rPr>
          <w:rFonts w:ascii="Arial" w:hAnsi="Arial"/>
          <w:sz w:val="22"/>
          <w:szCs w:val="22"/>
        </w:rPr>
        <w:t xml:space="preserve">To be eligible, total countable household resources </w:t>
      </w:r>
      <w:r>
        <w:rPr>
          <w:rFonts w:ascii="Arial" w:hAnsi="Arial"/>
          <w:b/>
          <w:sz w:val="22"/>
          <w:szCs w:val="22"/>
        </w:rPr>
        <w:t xml:space="preserve">cannot exceed $2000 - $3000 </w:t>
      </w:r>
      <w:r>
        <w:rPr>
          <w:rFonts w:ascii="Arial" w:hAnsi="Arial"/>
          <w:sz w:val="22"/>
          <w:szCs w:val="22"/>
        </w:rPr>
        <w:t xml:space="preserve">depending on household composition.  </w:t>
      </w:r>
      <w:r>
        <w:rPr>
          <w:rFonts w:ascii="Arial" w:hAnsi="Arial" w:cs="Arial"/>
          <w:sz w:val="22"/>
          <w:szCs w:val="22"/>
        </w:rPr>
        <w:t>Equity (fair market value less balance owed) value of owned vehicles is considered.</w:t>
      </w:r>
    </w:p>
    <w:p>
      <w:pPr>
        <w:numPr>
          <w:ilvl w:val="0"/>
          <w:numId w:val="1"/>
        </w:numPr>
        <w:ind w:left="-270" w:right="-720" w:hanging="450"/>
        <w:jc w:val="both"/>
        <w:rPr>
          <w:rFonts w:ascii="Arial" w:hAnsi="Arial" w:cs="Arial"/>
          <w:sz w:val="22"/>
          <w:szCs w:val="22"/>
        </w:rPr>
      </w:pPr>
      <w:r>
        <w:rPr>
          <w:rFonts w:ascii="Arial" w:hAnsi="Arial" w:cs="Arial"/>
          <w:sz w:val="22"/>
          <w:szCs w:val="22"/>
        </w:rPr>
        <w:t xml:space="preserve">Application for assistance from </w:t>
      </w:r>
      <w:r>
        <w:rPr>
          <w:rFonts w:ascii="Arial" w:hAnsi="Arial" w:cs="Arial"/>
          <w:sz w:val="22"/>
          <w:szCs w:val="22"/>
          <w:u w:val="single"/>
        </w:rPr>
        <w:t xml:space="preserve">any and all other programs or agencies will be required </w:t>
      </w:r>
      <w:r>
        <w:rPr>
          <w:rFonts w:ascii="Arial" w:hAnsi="Arial" w:cs="Arial"/>
          <w:sz w:val="22"/>
          <w:szCs w:val="22"/>
        </w:rPr>
        <w:t xml:space="preserve">if the IHC applicant is eligible, including Social Security and unemployment. The county is the payer of last resort. </w:t>
      </w:r>
    </w:p>
    <w:p>
      <w:pPr>
        <w:numPr>
          <w:ilvl w:val="0"/>
          <w:numId w:val="1"/>
        </w:numPr>
        <w:ind w:left="-270" w:right="-720" w:hanging="450"/>
        <w:jc w:val="both"/>
        <w:rPr>
          <w:rFonts w:ascii="Arial" w:hAnsi="Arial" w:cs="Arial"/>
          <w:sz w:val="22"/>
          <w:szCs w:val="22"/>
        </w:rPr>
      </w:pPr>
      <w:r>
        <w:rPr>
          <w:rFonts w:ascii="Arial" w:hAnsi="Arial" w:cs="Arial"/>
          <w:sz w:val="22"/>
          <w:szCs w:val="22"/>
        </w:rPr>
        <w:t>Applicants who feel they have been denied in error may request an appeal.</w:t>
      </w:r>
    </w:p>
    <w:p>
      <w:pPr>
        <w:ind w:left="-270" w:right="-720" w:hanging="450"/>
        <w:rPr>
          <w:rFonts w:ascii="Arial" w:hAnsi="Arial" w:cs="Arial"/>
          <w:sz w:val="22"/>
          <w:szCs w:val="22"/>
        </w:rPr>
      </w:pPr>
    </w:p>
    <w:p>
      <w:pPr>
        <w:ind w:left="-270" w:right="-720" w:hanging="450"/>
        <w:rPr>
          <w:rFonts w:ascii="Arial" w:hAnsi="Arial" w:cs="Arial"/>
          <w:b/>
          <w:sz w:val="22"/>
          <w:szCs w:val="22"/>
        </w:rPr>
      </w:pPr>
      <w:r>
        <w:rPr>
          <w:rFonts w:ascii="Arial" w:hAnsi="Arial" w:cs="Arial"/>
          <w:b/>
          <w:sz w:val="22"/>
          <w:szCs w:val="22"/>
        </w:rPr>
        <w:t>Basic health care services covered:</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Physician services</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Annual physical exams</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Immunizations</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Medical screening</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Laboratory and x-ray services (ordered by physician)</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Skilled Nursing Facility (medically necessary; ordered by physician)</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Prescriptions (max 3 per month); ordered by physician; no over-the-counter. Other restrictions apply.</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Rural Health Clinic services</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Inpatient hospital services</w:t>
      </w:r>
    </w:p>
    <w:p>
      <w:pPr>
        <w:numPr>
          <w:ilvl w:val="1"/>
          <w:numId w:val="1"/>
        </w:numPr>
        <w:tabs>
          <w:tab w:val="clear" w:pos="1800"/>
          <w:tab w:val="num" w:pos="1080"/>
        </w:tabs>
        <w:ind w:left="-270" w:right="-720" w:hanging="450"/>
        <w:jc w:val="both"/>
        <w:rPr>
          <w:rFonts w:ascii="Arial" w:hAnsi="Arial" w:cs="Arial"/>
          <w:sz w:val="22"/>
          <w:szCs w:val="22"/>
        </w:rPr>
      </w:pPr>
      <w:r>
        <w:rPr>
          <w:rFonts w:ascii="Arial" w:hAnsi="Arial" w:cs="Arial"/>
          <w:sz w:val="22"/>
          <w:szCs w:val="22"/>
        </w:rPr>
        <w:t>Outpatient hospital services</w:t>
      </w:r>
    </w:p>
    <w:p>
      <w:pPr>
        <w:ind w:left="-270" w:right="-720" w:hanging="450"/>
        <w:jc w:val="both"/>
        <w:rPr>
          <w:rFonts w:ascii="Arial" w:hAnsi="Arial" w:cs="Arial"/>
          <w:sz w:val="22"/>
          <w:szCs w:val="22"/>
        </w:rPr>
      </w:pPr>
    </w:p>
    <w:p>
      <w:pPr>
        <w:ind w:left="-270" w:right="-720" w:hanging="450"/>
        <w:jc w:val="both"/>
        <w:rPr>
          <w:rFonts w:ascii="Arial" w:hAnsi="Arial" w:cs="Arial"/>
          <w:sz w:val="22"/>
          <w:szCs w:val="22"/>
        </w:rPr>
      </w:pPr>
      <w:r>
        <w:rPr>
          <w:rFonts w:ascii="Arial" w:hAnsi="Arial" w:cs="Arial"/>
          <w:b/>
          <w:sz w:val="22"/>
          <w:szCs w:val="22"/>
        </w:rPr>
        <w:t>Optional services Bandera County has opted to include</w:t>
      </w:r>
      <w:r>
        <w:rPr>
          <w:rFonts w:ascii="Arial" w:hAnsi="Arial" w:cs="Arial"/>
          <w:sz w:val="22"/>
          <w:szCs w:val="22"/>
        </w:rPr>
        <w:t>:</w:t>
      </w:r>
    </w:p>
    <w:p>
      <w:pPr>
        <w:numPr>
          <w:ilvl w:val="0"/>
          <w:numId w:val="5"/>
        </w:numPr>
        <w:tabs>
          <w:tab w:val="clear" w:pos="720"/>
          <w:tab w:val="num" w:pos="1080"/>
        </w:tabs>
        <w:ind w:left="-270" w:right="-720" w:hanging="450"/>
        <w:jc w:val="both"/>
        <w:rPr>
          <w:rFonts w:ascii="Arial" w:hAnsi="Arial" w:cs="Arial"/>
          <w:sz w:val="22"/>
          <w:szCs w:val="22"/>
        </w:rPr>
      </w:pPr>
      <w:r>
        <w:rPr>
          <w:rFonts w:ascii="Arial" w:hAnsi="Arial" w:cs="Arial"/>
          <w:sz w:val="22"/>
          <w:szCs w:val="22"/>
        </w:rPr>
        <w:t>Advanced Practice Nurse services</w:t>
      </w:r>
    </w:p>
    <w:p>
      <w:pPr>
        <w:numPr>
          <w:ilvl w:val="0"/>
          <w:numId w:val="5"/>
        </w:numPr>
        <w:tabs>
          <w:tab w:val="clear" w:pos="720"/>
          <w:tab w:val="num" w:pos="1080"/>
        </w:tabs>
        <w:ind w:left="-270" w:right="-720" w:hanging="450"/>
        <w:jc w:val="both"/>
        <w:rPr>
          <w:rFonts w:ascii="Arial" w:hAnsi="Arial" w:cs="Arial"/>
          <w:sz w:val="22"/>
          <w:szCs w:val="22"/>
        </w:rPr>
      </w:pPr>
      <w:r>
        <w:rPr>
          <w:rFonts w:ascii="Arial" w:hAnsi="Arial" w:cs="Arial"/>
          <w:sz w:val="22"/>
          <w:szCs w:val="22"/>
        </w:rPr>
        <w:t>Ambulatory Surgical Center services</w:t>
      </w:r>
    </w:p>
    <w:p>
      <w:pPr>
        <w:numPr>
          <w:ilvl w:val="0"/>
          <w:numId w:val="5"/>
        </w:numPr>
        <w:tabs>
          <w:tab w:val="clear" w:pos="720"/>
          <w:tab w:val="num" w:pos="1080"/>
        </w:tabs>
        <w:ind w:left="-270" w:right="-720" w:hanging="450"/>
        <w:jc w:val="both"/>
        <w:rPr>
          <w:rFonts w:ascii="Arial" w:hAnsi="Arial" w:cs="Arial"/>
          <w:sz w:val="22"/>
          <w:szCs w:val="22"/>
        </w:rPr>
      </w:pPr>
      <w:r>
        <w:rPr>
          <w:rFonts w:ascii="Arial" w:hAnsi="Arial" w:cs="Arial"/>
          <w:sz w:val="22"/>
          <w:szCs w:val="22"/>
        </w:rPr>
        <w:t>Diabetic medical supplies and equipment</w:t>
      </w:r>
    </w:p>
    <w:p>
      <w:pPr>
        <w:numPr>
          <w:ilvl w:val="0"/>
          <w:numId w:val="5"/>
        </w:numPr>
        <w:tabs>
          <w:tab w:val="clear" w:pos="720"/>
          <w:tab w:val="num" w:pos="1080"/>
        </w:tabs>
        <w:ind w:left="-270" w:right="-720" w:hanging="450"/>
        <w:rPr>
          <w:rFonts w:ascii="Arial" w:hAnsi="Arial" w:cs="Arial"/>
          <w:sz w:val="22"/>
          <w:szCs w:val="22"/>
        </w:rPr>
      </w:pPr>
      <w:r>
        <w:rPr>
          <w:rFonts w:ascii="Arial" w:hAnsi="Arial" w:cs="Arial"/>
          <w:sz w:val="22"/>
          <w:szCs w:val="22"/>
        </w:rPr>
        <w:t>Physician Assistant services</w:t>
      </w:r>
    </w:p>
    <w:p>
      <w:pPr>
        <w:ind w:left="-270" w:right="-720" w:hanging="450"/>
        <w:rPr>
          <w:rFonts w:ascii="Arial" w:hAnsi="Arial" w:cs="Arial"/>
          <w:b/>
          <w:sz w:val="22"/>
          <w:szCs w:val="22"/>
        </w:rPr>
      </w:pPr>
    </w:p>
    <w:p>
      <w:pPr>
        <w:ind w:left="-270" w:right="-720" w:hanging="450"/>
        <w:rPr>
          <w:rFonts w:ascii="Arial" w:hAnsi="Arial" w:cs="Arial"/>
          <w:b/>
          <w:sz w:val="22"/>
          <w:szCs w:val="22"/>
        </w:rPr>
      </w:pPr>
      <w:r>
        <w:rPr>
          <w:rFonts w:ascii="Arial" w:hAnsi="Arial" w:cs="Arial"/>
          <w:b/>
          <w:sz w:val="22"/>
          <w:szCs w:val="22"/>
        </w:rPr>
        <w:t>Services NOT covered:</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Abortions</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Chiropractors</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 xml:space="preserve">Services provided outside of the </w:t>
      </w:r>
      <w:smartTag w:uri="urn:schemas-microsoft-com:office:smarttags" w:element="country-region">
        <w:smartTag w:uri="urn:schemas-microsoft-com:office:smarttags" w:element="place">
          <w:r>
            <w:rPr>
              <w:rFonts w:ascii="Arial" w:hAnsi="Arial" w:cs="Arial"/>
              <w:sz w:val="22"/>
              <w:szCs w:val="22"/>
            </w:rPr>
            <w:t>US</w:t>
          </w:r>
        </w:smartTag>
      </w:smartTag>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Counseling</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Dental care</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Family planning services</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Vision care</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Obstetrics; pre-natal care</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Ambulance or any transportation services</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Home nursing</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Durable medical equipment</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Weight loss surgery</w:t>
      </w:r>
    </w:p>
    <w:p>
      <w:pPr>
        <w:numPr>
          <w:ilvl w:val="0"/>
          <w:numId w:val="6"/>
        </w:numPr>
        <w:tabs>
          <w:tab w:val="clear" w:pos="720"/>
          <w:tab w:val="num" w:pos="1080"/>
        </w:tabs>
        <w:ind w:left="-270" w:right="-720" w:hanging="450"/>
        <w:jc w:val="both"/>
        <w:rPr>
          <w:rFonts w:ascii="Arial" w:hAnsi="Arial" w:cs="Arial"/>
          <w:sz w:val="22"/>
          <w:szCs w:val="22"/>
        </w:rPr>
      </w:pPr>
      <w:r>
        <w:rPr>
          <w:rFonts w:ascii="Arial" w:hAnsi="Arial" w:cs="Arial"/>
          <w:sz w:val="22"/>
          <w:szCs w:val="22"/>
        </w:rPr>
        <w:t>Some medications are not covered</w:t>
      </w:r>
    </w:p>
    <w:p>
      <w:pPr>
        <w:ind w:left="-270" w:right="-720" w:hanging="450"/>
        <w:rPr>
          <w:rFonts w:ascii="Arial" w:hAnsi="Arial" w:cs="Arial"/>
          <w:sz w:val="22"/>
          <w:szCs w:val="22"/>
        </w:rPr>
      </w:pPr>
    </w:p>
    <w:p>
      <w:pPr>
        <w:ind w:left="-720" w:right="-720"/>
        <w:jc w:val="both"/>
        <w:rPr>
          <w:rFonts w:ascii="Arial" w:hAnsi="Arial" w:cs="Arial"/>
          <w:b/>
          <w:sz w:val="22"/>
          <w:szCs w:val="22"/>
        </w:rPr>
      </w:pPr>
      <w:r>
        <w:rPr>
          <w:rFonts w:ascii="Arial" w:hAnsi="Arial" w:cs="Arial"/>
          <w:b/>
          <w:sz w:val="22"/>
          <w:szCs w:val="22"/>
        </w:rPr>
        <w:t>Additional information and contact details:</w:t>
      </w:r>
    </w:p>
    <w:p>
      <w:pPr>
        <w:ind w:left="-720" w:right="-720"/>
        <w:jc w:val="both"/>
        <w:rPr>
          <w:rFonts w:ascii="Arial" w:hAnsi="Arial" w:cs="Arial"/>
          <w:sz w:val="22"/>
          <w:szCs w:val="22"/>
        </w:rPr>
      </w:pPr>
      <w:r>
        <w:rPr>
          <w:rFonts w:ascii="Arial" w:hAnsi="Arial" w:cs="Arial"/>
          <w:sz w:val="22"/>
          <w:szCs w:val="22"/>
        </w:rPr>
        <w:t>Application information is verified and background checks may be performed. This validation process may be done at any time even if an applicant is initially found eligible. A background check may be performed to help validate application data.</w:t>
      </w:r>
      <w:r>
        <w:rPr>
          <w:rFonts w:ascii="Arial" w:hAnsi="Arial" w:cs="Arial"/>
          <w:b/>
          <w:bCs/>
          <w:sz w:val="22"/>
          <w:szCs w:val="22"/>
        </w:rPr>
        <w:t xml:space="preserve"> </w:t>
      </w:r>
      <w:r>
        <w:rPr>
          <w:rFonts w:ascii="Arial" w:hAnsi="Arial" w:cs="Arial"/>
          <w:bCs/>
          <w:sz w:val="22"/>
          <w:szCs w:val="22"/>
        </w:rPr>
        <w:t xml:space="preserve">Applications for the program can be obtained at the County Auditor's office at 1207 Pecan St, P.O. Box 563, Bandera, Texas 78003 or </w:t>
      </w:r>
      <w:hyperlink r:id="rId8" w:history="1">
        <w:hyperlink r:id="rId9" w:history="1">
          <w:r>
            <w:rPr>
              <w:rStyle w:val="Hyperlink"/>
              <w:rFonts w:ascii="Arial" w:hAnsi="Arial" w:cs="Arial"/>
              <w:sz w:val="22"/>
              <w:szCs w:val="22"/>
            </w:rPr>
            <w:t>https://www.bandera</w:t>
          </w:r>
          <w:bookmarkStart w:id="1" w:name="_GoBack"/>
          <w:bookmarkEnd w:id="1"/>
          <w:r>
            <w:rPr>
              <w:rStyle w:val="Hyperlink"/>
              <w:rFonts w:ascii="Arial" w:hAnsi="Arial" w:cs="Arial"/>
              <w:sz w:val="22"/>
              <w:szCs w:val="22"/>
            </w:rPr>
            <w:t>c</w:t>
          </w:r>
          <w:r>
            <w:rPr>
              <w:rStyle w:val="Hyperlink"/>
              <w:rFonts w:ascii="Arial" w:hAnsi="Arial" w:cs="Arial"/>
              <w:sz w:val="22"/>
              <w:szCs w:val="22"/>
            </w:rPr>
            <w:t>ounty.org/page/auditor.ihcp</w:t>
          </w:r>
        </w:hyperlink>
        <w:r>
          <w:rPr>
            <w:rStyle w:val="Hyperlink"/>
            <w:rFonts w:ascii="Arial" w:hAnsi="Arial" w:cs="Arial"/>
            <w:bCs/>
            <w:color w:val="auto"/>
            <w:sz w:val="22"/>
            <w:szCs w:val="22"/>
            <w:u w:val="none"/>
          </w:rPr>
          <w:t>.</w:t>
        </w:r>
      </w:hyperlink>
      <w:r>
        <w:rPr>
          <w:rFonts w:ascii="Arial" w:hAnsi="Arial" w:cs="Arial"/>
          <w:sz w:val="22"/>
          <w:szCs w:val="22"/>
        </w:rPr>
        <w:t xml:space="preserve"> </w:t>
      </w:r>
      <w:r>
        <w:rPr>
          <w:rFonts w:ascii="Arial" w:hAnsi="Arial" w:cs="Arial"/>
          <w:bCs/>
          <w:sz w:val="22"/>
          <w:szCs w:val="22"/>
        </w:rPr>
        <w:t xml:space="preserve">To request an application by mail or for more information, email </w:t>
      </w:r>
      <w:hyperlink r:id="rId10" w:history="1">
        <w:r>
          <w:rPr>
            <w:rStyle w:val="Hyperlink"/>
            <w:rFonts w:ascii="Arial" w:hAnsi="Arial" w:cs="Arial"/>
            <w:bCs/>
            <w:sz w:val="22"/>
            <w:szCs w:val="22"/>
          </w:rPr>
          <w:t>IHC@banderacounty.org</w:t>
        </w:r>
      </w:hyperlink>
      <w:r>
        <w:rPr>
          <w:rFonts w:ascii="Arial" w:hAnsi="Arial" w:cs="Arial"/>
          <w:bCs/>
          <w:sz w:val="22"/>
          <w:szCs w:val="22"/>
        </w:rPr>
        <w:t xml:space="preserve"> or call (830) 796-7166.</w:t>
      </w:r>
    </w:p>
    <w:sectPr>
      <w:footerReference w:type="default" r:id="rId11"/>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2CC1"/>
    <w:multiLevelType w:val="hybridMultilevel"/>
    <w:tmpl w:val="45402BB6"/>
    <w:lvl w:ilvl="0" w:tplc="04090001">
      <w:start w:val="1"/>
      <w:numFmt w:val="bullet"/>
      <w:lvlText w:val=""/>
      <w:lvlJc w:val="left"/>
      <w:pPr>
        <w:tabs>
          <w:tab w:val="num" w:pos="1440"/>
        </w:tabs>
        <w:ind w:left="1440" w:hanging="360"/>
      </w:pPr>
      <w:rPr>
        <w:rFonts w:ascii="Symbol" w:hAnsi="Symbol" w:hint="default"/>
      </w:rPr>
    </w:lvl>
    <w:lvl w:ilvl="1" w:tplc="C406D5A8">
      <w:start w:val="1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BA3A07"/>
    <w:multiLevelType w:val="hybridMultilevel"/>
    <w:tmpl w:val="8EDAC90E"/>
    <w:lvl w:ilvl="0" w:tplc="ECD44788">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C64EA0"/>
    <w:multiLevelType w:val="hybridMultilevel"/>
    <w:tmpl w:val="113EC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63829"/>
    <w:multiLevelType w:val="hybridMultilevel"/>
    <w:tmpl w:val="092E8716"/>
    <w:lvl w:ilvl="0" w:tplc="73D29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3954966"/>
    <w:multiLevelType w:val="hybridMultilevel"/>
    <w:tmpl w:val="2D103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E36662"/>
    <w:multiLevelType w:val="hybridMultilevel"/>
    <w:tmpl w:val="2B0CF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412B62E-B8A2-4502-A6F9-15476B6D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FollowedHyperlink">
    <w:name w:val="FollowedHyperlink"/>
    <w:basedOn w:val="DefaultParagraphFont"/>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3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deracounty.org/documents/BCIHC%20Form10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HC@banderacounty.org" TargetMode="External"/><Relationship Id="rId4" Type="http://schemas.openxmlformats.org/officeDocument/2006/relationships/webSettings" Target="webSettings.xml"/><Relationship Id="rId9" Type="http://schemas.openxmlformats.org/officeDocument/2006/relationships/hyperlink" Target="https://www.banderacounty.org/page/auditor.ih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INDIGENT HEALTH CARE PROGRAM NOTICE</vt:lpstr>
    </vt:vector>
  </TitlesOfParts>
  <Company>Bandera County</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INDIGENT HEALTH CARE PROGRAM NOTICE</dc:title>
  <dc:creator>BANDERA COUNTY</dc:creator>
  <cp:lastModifiedBy>Darryl Sadler</cp:lastModifiedBy>
  <cp:revision>2</cp:revision>
  <cp:lastPrinted>2024-08-07T19:52:00Z</cp:lastPrinted>
  <dcterms:created xsi:type="dcterms:W3CDTF">2025-05-15T16:11:00Z</dcterms:created>
  <dcterms:modified xsi:type="dcterms:W3CDTF">2025-05-15T16:11:00Z</dcterms:modified>
</cp:coreProperties>
</file>